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8864-6ka_superx.htm"/>
      <w:bookmarkStart w:id="1" w:name="ksea02988646ka_superx"/>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RULES 13a-16 AND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001-42013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SuperX AI Technology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Pasir Panjang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#06-31, Mapletree Business City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117440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to the Current Report on Form 6-K/A (this “Amended Report”) is being filed to amend the Current Report on Form 6-K initially filed by SuperX AI Technology Limited (the “Company”) with the Securities and Exchange Commission on July 21, 2026 (the “Original Report”). The Company is filing this Amended Report solely to correct the following typographical errors: (i) the full name of the Company’s new independent registered public accounting firm, which is registered with the Public Company Accounting Oversight Board, should be “HTL International, LLC” as opposed to “HTL CPAs &amp; Business Advisors” as incorrectly listed in page 1 of the Original Report; and (ii) the reference to “Assentsure” on page 1 of the Original Report should be amended to “HTL”.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corrections described above, this Amended Report is identical to the Original Report and does not reflect any events occurring after the date of the Original Report, nor does it modify or update any other information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9790" w:type="dxa"/>
        <w:jc w:val="left"/>
        <w:tblInd w:w="0" w:type="dxa"/>
        <w:tblLayout w:type="fixed"/>
        <w:tblCellMar>
          <w:top w:w="0" w:type="dxa"/>
          <w:left w:w="0" w:type="dxa"/>
          <w:bottom w:w="28" w:type="dxa"/>
          <w:right w:w="0" w:type="dxa"/>
        </w:tblCellMar>
      </w:tblPr>
      <w:tblGrid>
        <w:gridCol w:w="995"/>
        <w:gridCol w:w="60"/>
        <w:gridCol w:w="873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87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35" w:type="dxa"/>
            <w:tcBorders/>
            <w:shd w:fill="CCEEFF" w:val="clear"/>
            <w:tcMar>
              <w:bottom w:w="0" w:type="dxa"/>
            </w:tcMar>
            <w:vAlign w:val="center"/>
          </w:tcPr>
          <w:p>
            <w:pPr>
              <w:pStyle w:val="TableContents"/>
              <w:bidi w:val="0"/>
              <w:spacing w:before="0" w:after="283"/>
              <w:jc w:val="both"/>
              <w:rPr/>
            </w:pPr>
            <w:hyperlink w:anchor="ea029886401ex16-2.htm">
              <w:r>
                <w:rPr>
                  <w:rStyle w:val="InternetLink"/>
                  <w:rFonts w:ascii="Times New Roman;Times;Serif" w:hAnsi="Times New Roman;Times;Serif"/>
                  <w:sz w:val="20"/>
                </w:rPr>
                <w:t>Letter of KD &amp; Co. dated July 21, 2026, regarding change in independent registered public accounting firm</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314" w:type="dxa"/>
        <w:jc w:val="left"/>
        <w:tblInd w:w="0" w:type="dxa"/>
        <w:tblLayout w:type="fixed"/>
        <w:tblCellMar>
          <w:top w:w="0" w:type="dxa"/>
          <w:left w:w="0" w:type="dxa"/>
          <w:bottom w:w="0" w:type="dxa"/>
          <w:right w:w="0" w:type="dxa"/>
        </w:tblCellMar>
      </w:tblPr>
      <w:tblGrid>
        <w:gridCol w:w="1625"/>
        <w:gridCol w:w="776"/>
        <w:gridCol w:w="1913"/>
      </w:tblGrid>
      <w:tr>
        <w:trPr/>
        <w:tc>
          <w:tcPr>
            <w:tcW w:w="1625"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SuperX AI Technology Limited</w:t>
            </w:r>
          </w:p>
        </w:tc>
      </w:tr>
      <w:tr>
        <w:trPr/>
        <w:tc>
          <w:tcPr>
            <w:tcW w:w="1625"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22, 2026</w:t>
            </w:r>
          </w:p>
        </w:tc>
        <w:tc>
          <w:tcPr>
            <w:tcW w:w="7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1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Guili Miao</w:t>
            </w:r>
          </w:p>
        </w:tc>
      </w:tr>
      <w:tr>
        <w:trPr/>
        <w:tc>
          <w:tcPr>
            <w:tcW w:w="1625"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Guili Miao</w:t>
            </w:r>
          </w:p>
        </w:tc>
      </w:tr>
      <w:tr>
        <w:trPr/>
        <w:tc>
          <w:tcPr>
            <w:tcW w:w="1625"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886401ex16-2.htm"/>
      <w:bookmarkStart w:id="3" w:name="ksea029886401ex162"/>
      <w:bookmarkEnd w:id="2"/>
      <w:bookmarkEnd w:id="3"/>
      <w:r>
        <w:rPr>
          <w:rFonts w:ascii="Times New Roman;Times;Serif" w:hAnsi="Times New Roman;Times;Serif"/>
          <w:b/>
          <w:i w:val="false"/>
          <w:caps w:val="false"/>
          <w:smallCaps w:val="false"/>
          <w:sz w:val="20"/>
        </w:rPr>
        <w:t>Exhibit 16.2</w:t>
      </w:r>
      <w:r>
        <w:br w:type="page"/>
      </w:r>
    </w:p>
    <w:p>
      <w:pPr>
        <w:pStyle w:val="TextBody"/>
        <w:bidi w:val="0"/>
        <w:spacing w:before="0" w:after="0"/>
        <w:ind w:left="0" w:right="0" w:hanging="0"/>
        <w:jc w:val="right"/>
        <w:rPr>
          <w:caps w:val="false"/>
          <w:smallCaps w:val="false"/>
        </w:rPr>
      </w:pPr>
      <w:r>
        <w:rPr>
          <w:caps w:val="false"/>
          <w:smallCaps w:val="false"/>
        </w:rPr>
        <w:t> </w:t>
      </w:r>
    </w:p>
    <w:tbl>
      <w:tblPr>
        <w:tblW w:w="8030" w:type="dxa"/>
        <w:jc w:val="left"/>
        <w:tblInd w:w="0" w:type="dxa"/>
        <w:tblLayout w:type="fixed"/>
        <w:tblCellMar>
          <w:top w:w="0" w:type="dxa"/>
          <w:left w:w="0" w:type="dxa"/>
          <w:bottom w:w="0" w:type="dxa"/>
          <w:right w:w="0" w:type="dxa"/>
        </w:tblCellMar>
      </w:tblPr>
      <w:tblGrid>
        <w:gridCol w:w="3015"/>
        <w:gridCol w:w="5015"/>
      </w:tblGrid>
      <w:tr>
        <w:trPr/>
        <w:tc>
          <w:tcPr>
            <w:tcW w:w="3015" w:type="dxa"/>
            <w:tcBorders/>
            <w:vAlign w:val="center"/>
          </w:tcPr>
          <w:p>
            <w:pPr>
              <w:pStyle w:val="TableContents"/>
              <w:bidi w:val="0"/>
              <w:spacing w:before="0" w:after="0"/>
              <w:ind w:left="288" w:right="0" w:hanging="0"/>
              <w:jc w:val="left"/>
              <w:rPr>
                <w:caps w:val="false"/>
                <w:smallCaps w:val="false"/>
              </w:rPr>
            </w:pPr>
            <w:r>
              <w:rPr>
                <w:caps w:val="false"/>
                <w:smallCaps w:val="false"/>
              </w:rPr>
              <w:drawing>
                <wp:inline distT="0" distB="0" distL="0" distR="0">
                  <wp:extent cx="19050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76250"/>
                          </a:xfrm>
                          <a:prstGeom prst="rect">
                            <a:avLst/>
                          </a:prstGeom>
                        </pic:spPr>
                      </pic:pic>
                    </a:graphicData>
                  </a:graphic>
                </wp:inline>
              </w:drawing>
            </w:r>
          </w:p>
        </w:tc>
        <w:tc>
          <w:tcPr>
            <w:tcW w:w="5015" w:type="dxa"/>
            <w:tcBorders/>
            <w:vAlign w:val="center"/>
          </w:tcPr>
          <w:p>
            <w:pPr>
              <w:pStyle w:val="TableContents"/>
              <w:bidi w:val="0"/>
              <w:jc w:val="right"/>
              <w:rPr>
                <w:rFonts w:ascii="Times New Roman;Times;Serif" w:hAnsi="Times New Roman;Times;Serif"/>
                <w:sz w:val="20"/>
              </w:rPr>
            </w:pPr>
            <w:r>
              <w:rPr>
                <w:rFonts w:ascii="Times New Roman;Times;Serif" w:hAnsi="Times New Roman;Times;Serif"/>
                <w:sz w:val="20"/>
              </w:rPr>
              <w:t>43/F, AIA Tower, 183 Electric Road, North Point, Hong Kong</w:t>
            </w:r>
          </w:p>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Tel: (852) 3905 3280 www.kdcpaco.com</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read the statements made by SuperX AI Technology Limited (the “Company”) under the heading “Change in Independent Registered Public Accounting Firm” in the Company’s Report of Foreign Private Issuer on Form 6-K dated July 21, 2026, which we understand will be furnished to the Securities and Exchange Commission, and with which we were provided in advance of its furnishing. We agree with the statements made therein insofar as they relate to our firm, including the statements concerning our dismissal as the Company’s independent registered public accounting firm, our reports on the Company’s consolidated financial statements for the fiscal years ended June 30, 2025 and 2024, and the absence of disagreements and reportable events during those fiscal years and the subsequent interim period through the date of our dismissal.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in a position to agree or disagree with the statements made by the Company relating to the appointment of, or the Company’s consultations with, HTL International,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143000"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 cy="3905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KD&amp;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528</Words>
  <Characters>2814</Characters>
  <CharactersWithSpaces>3349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