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001-42013</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SUPERX AI TECHNOLOGY LIMITED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30 Pasir Panjang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#06-31, Mapletree Business City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117440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2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Appointment of Chief Investment Officer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 2026, the board of directors (the “Board”) of SuperX AI Technology Limited (the “Company”) appointed Mr. Jie Yang (Jack Yang) (“Mr. Yang”), who currently serves as an Executive Director of the Company, as the Chief Investment Officer of the Company, effective June 1, 2026. Mr. Yang will continue to serve as an Executive Director of the Company. In connection with Mr. Yang’s appointment, the Board also approved the establishment of an Investment Committee, to operate under Mr. Yang’s oversight, to review and approve the Company’s material capital expenditure and merger and acquisition proposals.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biographical information of Mr. Yang is set forth below:</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Yang is a seasoned finance and energy investment professional with over 30 years of leadership experience in global energy infrastructure and strategic investments, and has been an important promoter of energy cooperation among Canada, the United States and China. Mr. Yang founded and served as the Chief Executive Officer of the Canada-China Global Natural Resources Investment Fund, a US$10 billion initiative launched in 2012. He has held executive and director roles in publicly listed energy companies and is currently leading AI-focused energy infrastructure projects in Canada, Saudi Arabia, Oman, Ethiopia and Rwanda. Mr. Yang has deep expertise in the areas of energy, energy infrastructure and data centers. Mr. Yang currently serves as a director of China Oil and Gas Group Limited, a company listed on The Stock Exchange of Hong Kong Limited; Henry Bath, a United Kingdom company and a member of the Mercuria group; and EMC Financials Ltd., the general partner of the Canada-China Global Natural Resources Investment Fund.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Yang’s existing employment agreement with the Company, dated August 1, 2025, remains in effect, and there are no changes to the terms in connection with his appointment as Chief Investment Officer.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Yang and any other person pursuant to which he was appointed as Chief Investment Officer, and there are no family relationships between Mr. Yang and any director or executive officer of the Company. There are no transactions involving Mr. Yang that would be required to be disclosed under Item 7.B of Form 20-F.</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7180" w:type="dxa"/>
            <w:vAlign w:val="bottom"/>
            <w:gridSpan w:val="2"/>
          </w:tcPr>
          <w:p>
            <w:pPr>
              <w:ind w:left="2700"/>
              <w:spacing w:after="0"/>
              <w:rPr>
                <w:sz w:val="20"/>
                <w:szCs w:val="20"/>
                <w:color w:val="auto"/>
              </w:rPr>
            </w:pPr>
            <w:r>
              <w:rPr>
                <w:rFonts w:ascii="Times New Roman" w:cs="Times New Roman" w:eastAsia="Times New Roman" w:hAnsi="Times New Roman"/>
                <w:sz w:val="18"/>
                <w:szCs w:val="18"/>
                <w:b w:val="1"/>
                <w:bCs w:val="1"/>
                <w:color w:val="auto"/>
              </w:rPr>
              <w:t>Super X AI Technology Limited</w:t>
            </w:r>
          </w:p>
        </w:tc>
      </w:tr>
      <w:tr>
        <w:trPr>
          <w:trHeight w:val="43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 June 8, 2026</w:t>
            </w:r>
          </w:p>
        </w:tc>
        <w:tc>
          <w:tcPr>
            <w:tcW w:w="338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Guili Miao</w:t>
            </w:r>
          </w:p>
        </w:tc>
      </w:tr>
      <w:tr>
        <w:trPr>
          <w:trHeight w:val="198"/>
        </w:trPr>
        <w:tc>
          <w:tcPr>
            <w:tcW w:w="4060" w:type="dxa"/>
            <w:vAlign w:val="bottom"/>
          </w:tcPr>
          <w:p>
            <w:pPr>
              <w:spacing w:after="0"/>
              <w:rPr>
                <w:sz w:val="17"/>
                <w:szCs w:val="17"/>
                <w:color w:val="auto"/>
              </w:rPr>
            </w:pPr>
          </w:p>
        </w:tc>
        <w:tc>
          <w:tcPr>
            <w:tcW w:w="3380" w:type="dxa"/>
            <w:vAlign w:val="bottom"/>
          </w:tcPr>
          <w:p>
            <w:pPr>
              <w:ind w:left="27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Ms. Guili Miao</w:t>
            </w:r>
          </w:p>
        </w:tc>
      </w:tr>
      <w:tr>
        <w:trPr>
          <w:trHeight w:val="234"/>
        </w:trPr>
        <w:tc>
          <w:tcPr>
            <w:tcW w:w="4060" w:type="dxa"/>
            <w:vAlign w:val="bottom"/>
          </w:tcPr>
          <w:p>
            <w:pPr>
              <w:spacing w:after="0"/>
              <w:rPr>
                <w:sz w:val="20"/>
                <w:szCs w:val="20"/>
                <w:color w:val="auto"/>
              </w:rPr>
            </w:pPr>
          </w:p>
        </w:tc>
        <w:tc>
          <w:tcPr>
            <w:tcW w:w="338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2026-06-08T08:06:31Z</dcterms:created>
  <dcterms:modified xsi:type="dcterms:W3CDTF">2026-06-08T08:06:31Z</dcterms:modified>
</cp:coreProperties>
</file>