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001-42013</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SUPERX AI TECHNOLOGY LIMITED</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30 Pasir Panjang Road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#06-31, Mapletree Business City</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Singapore 117440</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520"/>
        <w:spacing w:after="0" w:line="207" w:lineRule="exact"/>
        <w:tabs>
          <w:tab w:leader="none" w:pos="57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Resignation of Independent Director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20, 2026, Mr. Ho Chuen Shin (“Mr. Shin”) notified the board of directors (the “Board”) of SuperX AI Technology Limited (the “Company”) of his resignation as an independent director of the Company, including his roles as a member of the Audit Committee, Chairperson of the Compensation Committee, and a member of the Nominating and Corporate Governance Committee, effective May 20, 2026. Mr. Shin’s resignation was not the result of any disagreement with the Company, the Board or management on any matter relating to the Company’s operations, policies or practices.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Appointment of Mr. Shen Pao Hua Paul as Independent Director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20, 2026, the board of directors (the “Board”) of SuperX AI Technology Limited (the “Company”) appointed Mr. Shen Pao Hua Paul (“Mr. Shen”) as an independent director of the Company, and as Chairperson of the Compensation Committee of the Company, effective immediately. Based on the information provided by Mr. Shen in connection with the appointment, the Board has determined that Mr. Shen qualifies as an “independent director” within the meaning of Nasdaq Listing Rule 5605(a)(2) and Rule 10A-3 under the Securities Exchange Act of 1934, as amended.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biographical information of Mr. Shen is set forth below:</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Mr. Shen Pao Hua Paul is a Certified Public Accountant licensed in New York since 1987 and California since 1988, with more than three decades of experience in public accounting, taxation and corporate advisory services. Since January 2007, Mr. Shen has served as the founder and principal of Shen &amp; Associates, CPAs, a public accounting firm based in the San Francisco Bay Area providing tax, accounting and related professional services to closely held businesses and their owners and managers. From 1995 to 2006, Mr. Shen served as Managing Partner of Mok, Shen &amp; Company CPAs. Earlier in his career, Mr. Shen served as Associate Director of the Pacific Rim Practice at BDO Seidman from August 1992, having joined the firm as a tax manager in December 1990. Mr. Shen’s expertise covers a broad range of corporate and individual tax planning and compliance, including international tax matters for inbound and outbound investments, IRS audits and special reportings for foreign investors in the United States, and consulting on compliance issues relating to banking regulations. Mr. Shen holds a Master of Business Administration from New York University’s Graduate School of Business (1985) and a Bachelor of Science from Georgetown University (1983). He is a member of the American Institute of Certified Public Accountants, the California Society of Certified Public Accountants, and the Hong Kong Association of Northern California. Mr. Shen is a citizen of the United States.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Reconstitution of Board Committees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foregoing changes, on May 20, 2026, the Board reconstituted its standing committees, in each case with effect from the same date, as follows: the Audit Committee shall consist of Ms. Yuet Yiu Charissa Miu (Chairperson and Audit Committee Financial Expert), Mr. Shao Wei and Mr. Shen Pao Hua Paul; the Compensation Committee shall consist of Mr. Shen Pao Hua Paul (Chairperson), Ms. Yuet Yiu Charissa Miu and Mr. Shao Wei; and the Nominating and Corporate Governance Committee shall consist of Mr. Shao Wei (Chairperson), Ms. Yuet Yiu Charissa Miu and Mr. Shen Pao Hua Paul. The Board has determined that each of Ms. Miu, Mr. Shao and Mr. Shen satisfies the “independence” requirements of Section 5605(a)(2) of the Nasdaq Listing Rules and Rule 10A-3 under the Securities Exchange Act of 1934, as amended, and that each member of the Audit Committee further satisfies the additional independence requirements applicable to audit committee members under Rule 10A-3.</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Following the foregoing changes, the Company’s Board is composed of seven (7) directors, comprising three (3) executive directors and four (4) independent directors. As a foreign private issuer, the Company relies on the home country exemption under Nasdaq Listing Rule 5615(a)(3) and is not required to maintain a board comprising a majority of independent directors.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copy of the Independent Director Offer Letter between the Company and Mr. Shen Pao Hua Paul, dated May 20, 2026, is furnished as Exhibit 99.1 to this Report on Form 6-K.</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ind w:left="4880"/>
        <w:spacing w:after="0"/>
        <w:rPr>
          <w:sz w:val="20"/>
          <w:szCs w:val="20"/>
          <w:color w:val="auto"/>
        </w:rPr>
      </w:pPr>
      <w:r>
        <w:rPr>
          <w:rFonts w:ascii="Times New Roman" w:cs="Times New Roman" w:eastAsia="Times New Roman" w:hAnsi="Times New Roman"/>
          <w:sz w:val="18"/>
          <w:szCs w:val="18"/>
          <w:b w:val="1"/>
          <w:bCs w:val="1"/>
          <w:color w:val="auto"/>
        </w:rPr>
        <w:t>EXHIBITS INDEX</w:t>
      </w:r>
    </w:p>
    <w:p>
      <w:pPr>
        <w:spacing w:after="0" w:line="200" w:lineRule="exact"/>
        <w:rPr>
          <w:sz w:val="20"/>
          <w:szCs w:val="20"/>
          <w:color w:val="auto"/>
        </w:rPr>
      </w:pPr>
    </w:p>
    <w:p>
      <w:pPr>
        <w:spacing w:after="0" w:line="24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Exhibit No.</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54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4"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Independent Director Offer Letter, dated May 20, 2026, between SuperX AI Technology Limited and Mr. Shen Pao Hua Paul</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60"/>
          </w:cols>
          <w:pgMar w:left="320" w:top="900" w:right="141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7720" w:type="dxa"/>
            <w:vAlign w:val="bottom"/>
            <w:gridSpan w:val="2"/>
          </w:tcPr>
          <w:p>
            <w:pPr>
              <w:ind w:left="3240"/>
              <w:spacing w:after="0"/>
              <w:rPr>
                <w:sz w:val="20"/>
                <w:szCs w:val="20"/>
                <w:color w:val="auto"/>
              </w:rPr>
            </w:pPr>
            <w:r>
              <w:rPr>
                <w:rFonts w:ascii="Times New Roman" w:cs="Times New Roman" w:eastAsia="Times New Roman" w:hAnsi="Times New Roman"/>
                <w:sz w:val="18"/>
                <w:szCs w:val="18"/>
                <w:b w:val="1"/>
                <w:bCs w:val="1"/>
                <w:color w:val="auto"/>
              </w:rPr>
              <w:t>SuperX AI Technology Limited</w:t>
            </w:r>
          </w:p>
        </w:tc>
      </w:tr>
      <w:tr>
        <w:trPr>
          <w:trHeight w:val="439"/>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May 20, 2026</w:t>
            </w:r>
          </w:p>
        </w:tc>
        <w:tc>
          <w:tcPr>
            <w:tcW w:w="3800" w:type="dxa"/>
            <w:vAlign w:val="bottom"/>
          </w:tcPr>
          <w:p>
            <w:pPr>
              <w:ind w:left="32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Yu Chun Kit, Anderson</w:t>
            </w:r>
          </w:p>
        </w:tc>
      </w:tr>
      <w:tr>
        <w:trPr>
          <w:trHeight w:val="198"/>
        </w:trPr>
        <w:tc>
          <w:tcPr>
            <w:tcW w:w="3520" w:type="dxa"/>
            <w:vAlign w:val="bottom"/>
          </w:tcPr>
          <w:p>
            <w:pPr>
              <w:spacing w:after="0"/>
              <w:rPr>
                <w:sz w:val="17"/>
                <w:szCs w:val="17"/>
                <w:color w:val="auto"/>
              </w:rPr>
            </w:pPr>
          </w:p>
        </w:tc>
        <w:tc>
          <w:tcPr>
            <w:tcW w:w="3800" w:type="dxa"/>
            <w:vAlign w:val="bottom"/>
          </w:tcPr>
          <w:p>
            <w:pPr>
              <w:ind w:left="32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Yu Chun Kit, Anderson</w:t>
            </w:r>
          </w:p>
        </w:tc>
      </w:tr>
      <w:tr>
        <w:trPr>
          <w:trHeight w:val="234"/>
        </w:trPr>
        <w:tc>
          <w:tcPr>
            <w:tcW w:w="3520" w:type="dxa"/>
            <w:vAlign w:val="bottom"/>
          </w:tcPr>
          <w:p>
            <w:pPr>
              <w:spacing w:after="0"/>
              <w:rPr>
                <w:sz w:val="20"/>
                <w:szCs w:val="20"/>
                <w:color w:val="auto"/>
              </w:rPr>
            </w:pPr>
          </w:p>
        </w:tc>
        <w:tc>
          <w:tcPr>
            <w:tcW w:w="3800" w:type="dxa"/>
            <w:vAlign w:val="bottom"/>
          </w:tcPr>
          <w:p>
            <w:pPr>
              <w:ind w:left="324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Executive Director</w:t>
            </w:r>
          </w:p>
        </w:tc>
      </w:tr>
      <w:tr>
        <w:trPr>
          <w:trHeight w:val="655"/>
        </w:trPr>
        <w:tc>
          <w:tcPr>
            <w:tcW w:w="35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ind w:left="2060"/>
              <w:spacing w:after="0"/>
              <w:rPr>
                <w:sz w:val="20"/>
                <w:szCs w:val="20"/>
                <w:color w:val="auto"/>
              </w:rPr>
            </w:pPr>
            <w:r>
              <w:rPr>
                <w:rFonts w:ascii="Times New Roman" w:cs="Times New Roman" w:eastAsia="Times New Roman" w:hAnsi="Times New Roman"/>
                <w:sz w:val="18"/>
                <w:szCs w:val="18"/>
                <w:color w:val="auto"/>
              </w:rPr>
              <w:t>3</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SuperX AI Technology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30 Pasir Panjang Road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#06-31, Mapletree Business City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Singapore 117440</w:t>
      </w: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May 20, 2026</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 Independent Director Offer Letter – Mr. Paul Pao Hua Shen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Mr. Paul Pao Hua Shen:</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SuperX AI Technology Limited, a British Virgin Islands business company limited by shares (the “Company” or “we”), is pleased to offer you a position as an Independent Director of the Company. We believe your background and experience will be a significant asset to the Company and we look forward to your participation as an Independent Director in the Company. Should you choose to accept this position as an Independent Director, this letter agreement (the “Agreement”) shall constitute an agreement between you and the Company and contains all the terms and conditions relating to the services you agree to provide to the Company. Your appointment shall begin on May 20, 2026 (the “Commencement Date”).</w:t>
      </w:r>
    </w:p>
    <w:p>
      <w:pPr>
        <w:spacing w:after="0" w:line="179" w:lineRule="exact"/>
        <w:rPr>
          <w:sz w:val="20"/>
          <w:szCs w:val="20"/>
          <w:color w:val="auto"/>
        </w:rPr>
      </w:pPr>
    </w:p>
    <w:p>
      <w:pPr>
        <w:ind w:firstLine="656"/>
        <w:spacing w:after="0" w:line="286" w:lineRule="auto"/>
        <w:tabs>
          <w:tab w:leader="none" w:pos="1192"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is effective upon the Commencement Date and shall continue for a period of one year from the Commencement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subject to the provisions in Section 9 below or until your successor is duly elected and qualified.</w:t>
      </w:r>
    </w:p>
    <w:p>
      <w:pPr>
        <w:spacing w:after="0" w:line="154" w:lineRule="exact"/>
        <w:rPr>
          <w:rFonts w:ascii="Times New Roman" w:cs="Times New Roman" w:eastAsia="Times New Roman" w:hAnsi="Times New Roman"/>
          <w:sz w:val="18"/>
          <w:szCs w:val="18"/>
          <w:b w:val="1"/>
          <w:bCs w:val="1"/>
          <w:color w:val="auto"/>
        </w:rPr>
      </w:pPr>
    </w:p>
    <w:p>
      <w:pPr>
        <w:jc w:val="both"/>
        <w:ind w:firstLine="656"/>
        <w:spacing w:after="0" w:line="259" w:lineRule="auto"/>
        <w:tabs>
          <w:tab w:leader="none" w:pos="1206"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Services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shall render customary services as an Independent Director and such other duties as are reasonably contemplated by you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holding office as an independent director of the Company or which may reasonably be assigned to you by the Board from time to time, including being member of the committee(s) of the Board (hereinafter, your “Duties”). During the term of this Agreement, you may attend and participate at each meeting regarding the business and operation issues of the Company as regularly or specially called, via teleconference, video conference or in person. You shall consult with the members of the Board and committee (if any) regularly and as necessary via telephone, electronic mail or other forms of correspondence.</w:t>
      </w:r>
    </w:p>
    <w:p>
      <w:pPr>
        <w:spacing w:after="0" w:line="179" w:lineRule="exact"/>
        <w:rPr>
          <w:rFonts w:ascii="Times New Roman" w:cs="Times New Roman" w:eastAsia="Times New Roman" w:hAnsi="Times New Roman"/>
          <w:sz w:val="18"/>
          <w:szCs w:val="18"/>
          <w:b w:val="1"/>
          <w:bCs w:val="1"/>
          <w:color w:val="auto"/>
        </w:rPr>
      </w:pPr>
    </w:p>
    <w:p>
      <w:pPr>
        <w:ind w:left="1100" w:hanging="444"/>
        <w:spacing w:after="0"/>
        <w:tabs>
          <w:tab w:leader="none" w:pos="110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Services for Others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shall be free to represent or perform services for other persons during the term of this Agreement.</w:t>
      </w:r>
    </w:p>
    <w:p>
      <w:pPr>
        <w:spacing w:after="0" w:line="225" w:lineRule="exact"/>
        <w:rPr>
          <w:rFonts w:ascii="Times New Roman" w:cs="Times New Roman" w:eastAsia="Times New Roman" w:hAnsi="Times New Roman"/>
          <w:sz w:val="18"/>
          <w:szCs w:val="18"/>
          <w:b w:val="1"/>
          <w:bCs w:val="1"/>
          <w:color w:val="auto"/>
        </w:rPr>
      </w:pPr>
    </w:p>
    <w:p>
      <w:pPr>
        <w:ind w:firstLine="656"/>
        <w:spacing w:after="0" w:line="286" w:lineRule="auto"/>
        <w:tabs>
          <w:tab w:leader="none" w:pos="1152"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Compensation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compensation for your services to the Company, you will receive a monthly compensation of USD$3,000, payable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last day of each month.</w:t>
      </w:r>
    </w:p>
    <w:p>
      <w:pPr>
        <w:spacing w:after="0" w:line="154" w:lineRule="exact"/>
        <w:rPr>
          <w:rFonts w:ascii="Times New Roman" w:cs="Times New Roman" w:eastAsia="Times New Roman" w:hAnsi="Times New Roman"/>
          <w:sz w:val="18"/>
          <w:szCs w:val="18"/>
          <w:b w:val="1"/>
          <w:bCs w:val="1"/>
          <w:color w:val="auto"/>
        </w:rPr>
      </w:pPr>
    </w:p>
    <w:p>
      <w:pPr>
        <w:ind w:firstLine="656"/>
        <w:spacing w:after="0" w:line="286" w:lineRule="auto"/>
        <w:tabs>
          <w:tab w:leader="none" w:pos="126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D&amp;O Insurance Policy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the term under this Agreement, the Company shall include you as an insured under its officers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insurance policy, if available.</w:t>
      </w:r>
    </w:p>
    <w:p>
      <w:pPr>
        <w:spacing w:after="0" w:line="154" w:lineRule="exact"/>
        <w:rPr>
          <w:rFonts w:ascii="Times New Roman" w:cs="Times New Roman" w:eastAsia="Times New Roman" w:hAnsi="Times New Roman"/>
          <w:sz w:val="18"/>
          <w:szCs w:val="18"/>
          <w:b w:val="1"/>
          <w:bCs w:val="1"/>
          <w:color w:val="auto"/>
        </w:rPr>
      </w:pPr>
    </w:p>
    <w:p>
      <w:pPr>
        <w:ind w:right="20" w:firstLine="656"/>
        <w:spacing w:after="0" w:line="286" w:lineRule="auto"/>
        <w:tabs>
          <w:tab w:leader="none" w:pos="1125"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 Assignment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Because of the personal nature of the services to be rendered by you, this Agreement may not be assigned by you without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prior written consent of the Company.</w:t>
      </w:r>
    </w:p>
    <w:p>
      <w:pPr>
        <w:spacing w:after="0" w:line="154" w:lineRule="exact"/>
        <w:rPr>
          <w:rFonts w:ascii="Times New Roman" w:cs="Times New Roman" w:eastAsia="Times New Roman" w:hAnsi="Times New Roman"/>
          <w:sz w:val="18"/>
          <w:szCs w:val="18"/>
          <w:b w:val="1"/>
          <w:bCs w:val="1"/>
          <w:color w:val="auto"/>
        </w:rPr>
      </w:pPr>
    </w:p>
    <w:p>
      <w:pPr>
        <w:ind w:firstLine="656"/>
        <w:spacing w:after="0" w:line="286" w:lineRule="auto"/>
        <w:tabs>
          <w:tab w:leader="none" w:pos="1138"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Confidential Information; Non-Disclosure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consideration of your access to certain Confidential Information (as defined below)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in connection with your business relationship with the Company, you hereby represent and agree as follows:</w:t>
      </w:r>
    </w:p>
    <w:p>
      <w:pPr>
        <w:spacing w:after="0" w:line="154" w:lineRule="exact"/>
        <w:rPr>
          <w:rFonts w:ascii="Times New Roman" w:cs="Times New Roman" w:eastAsia="Times New Roman" w:hAnsi="Times New Roman"/>
          <w:sz w:val="18"/>
          <w:szCs w:val="18"/>
          <w:b w:val="1"/>
          <w:bCs w:val="1"/>
          <w:color w:val="auto"/>
        </w:rPr>
      </w:pPr>
    </w:p>
    <w:p>
      <w:pPr>
        <w:jc w:val="both"/>
        <w:ind w:firstLine="1304"/>
        <w:spacing w:after="0" w:line="256" w:lineRule="auto"/>
        <w:tabs>
          <w:tab w:leader="none" w:pos="1813" w:val="left"/>
        </w:tabs>
        <w:numPr>
          <w:ilvl w:val="1"/>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Definition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purposes of this Agreement the term “Confidential Information” means: (i) any information which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possesses that has been created, discovered or developed by or for the Company, and which has or could have commercial value or utility in the business in which the Company is engaged; (ii) any information which is related to the business of the Company and is generally not known by non-Company personnel; and (iii) Confidential Information includes, without limitation, trade secrets and any information concerning products, processes, formulas, designs, inventions (whether or not patentable or registrable under copyright or similar laws, and whether or not reduced to practice), discoveries, concepts, ideas, improvements, techniques, methods, research, development and test results, specifications, data, know-how, software, formats, marketing plans, and analyses, business plans and analyses, strategies, forecasts, customer and supplier identities, characteristics and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jc w:val="both"/>
        <w:ind w:firstLine="1296"/>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b w:val="1"/>
          <w:bCs w:val="1"/>
          <w:u w:val="single" w:color="auto"/>
          <w:color w:val="auto"/>
        </w:rPr>
        <w:t>Exclusions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the foregoing, the term Confidential Information shall not include: (i) any information which becomes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generally available or is readily available to the public other than as a result of a breach of the confidentiality portions of this Agreement, or any other agreement requiring confidentiality between the Company and you; (ii) information received from a third party in rightful possession of such information who is not restricted from disclosing such information; (iii) information known by you prior to receipt of such information from the Company, which prior knowledge can be documented and (iv) information you are required to disclose pursuant to any applicable law, regulation, judicial or administrative order or decree, or request by other regulatory organization having authority pursuant to the law; provided, however, that you shall first have given prior written notice to the Company and made a reasonable effort to obtain a protective order requiring that the Confidential Information not be disclosed.</w:t>
      </w:r>
    </w:p>
    <w:p>
      <w:pPr>
        <w:spacing w:after="0" w:line="183" w:lineRule="exact"/>
        <w:rPr>
          <w:sz w:val="20"/>
          <w:szCs w:val="20"/>
          <w:color w:val="auto"/>
        </w:rPr>
      </w:pPr>
    </w:p>
    <w:p>
      <w:pPr>
        <w:jc w:val="both"/>
        <w:ind w:firstLine="1304"/>
        <w:spacing w:after="0" w:line="259" w:lineRule="auto"/>
        <w:tabs>
          <w:tab w:leader="none" w:pos="1898" w:val="left"/>
        </w:tabs>
        <w:numPr>
          <w:ilvl w:val="1"/>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Documents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agree that, without the express written consent of the Company, you will not remove from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premises, any notes, formulas, programs, data, records, machines or any other documents or items which in any manner contain or constitute Confidential Information, nor will you make reproductions or copies of same. You shall promptly return any such documents or items, along with any reproductions or copies to the Company upon the Company’s demand, upon termination of this Agreement, or upon your termination or Resignation (as defined in Section 9 herein).</w:t>
      </w:r>
    </w:p>
    <w:p>
      <w:pPr>
        <w:spacing w:after="0" w:line="179" w:lineRule="exact"/>
        <w:rPr>
          <w:rFonts w:ascii="Times New Roman" w:cs="Times New Roman" w:eastAsia="Times New Roman" w:hAnsi="Times New Roman"/>
          <w:sz w:val="18"/>
          <w:szCs w:val="18"/>
          <w:b w:val="1"/>
          <w:bCs w:val="1"/>
          <w:color w:val="auto"/>
        </w:rPr>
      </w:pPr>
    </w:p>
    <w:p>
      <w:pPr>
        <w:jc w:val="both"/>
        <w:ind w:firstLine="1304"/>
        <w:spacing w:after="0" w:line="256" w:lineRule="auto"/>
        <w:tabs>
          <w:tab w:leader="none" w:pos="1796" w:val="left"/>
        </w:tabs>
        <w:numPr>
          <w:ilvl w:val="1"/>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Confidentiality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agree that you will hold in trust and confidence all Confidential Information and will not disclose to others,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directly or indirectly, any Confidential Information or anything relating to such information without the prior written consent of the Company, except as may be necessary in the course of your business relationship with the Company. You further agree that you will not use any Confidential Information without the prior written consent of the Company, except as may be necessary in the course of your business relationship with the Company, and that the provisions of this paragraph (d) shall survive termination of this Agreement. Notwithstanding the foregoing, you may disclose Confidential Information to your legal counsel and accounting advisors who have a need to know such information for accounting or tax purposes and who agree to be bound by the provisions of this paragraph (d).</w:t>
      </w:r>
    </w:p>
    <w:p>
      <w:pPr>
        <w:spacing w:after="0" w:line="182" w:lineRule="exact"/>
        <w:rPr>
          <w:rFonts w:ascii="Times New Roman" w:cs="Times New Roman" w:eastAsia="Times New Roman" w:hAnsi="Times New Roman"/>
          <w:sz w:val="18"/>
          <w:szCs w:val="18"/>
          <w:b w:val="1"/>
          <w:bCs w:val="1"/>
          <w:color w:val="auto"/>
        </w:rPr>
      </w:pPr>
    </w:p>
    <w:p>
      <w:pPr>
        <w:jc w:val="both"/>
        <w:ind w:firstLine="1304"/>
        <w:spacing w:after="0" w:line="257" w:lineRule="auto"/>
        <w:tabs>
          <w:tab w:leader="none" w:pos="1844" w:val="left"/>
        </w:tabs>
        <w:numPr>
          <w:ilvl w:val="1"/>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Ownership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agree that the Company shall own all right, title and interest (including patent rights, copyrights, trade secret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rights, mask work rights, trademark rights, and all other intellectual and industrial property rights of any sort throughout the world) relating to any and all inventions (whether or not patentable), works of authorship, mask works, designations, designs, know-how, ideas and information made or conceived or reduced to practice, in whole or in part, by you during the term of this Agreement and that arise out of your Duties (collectively, “</w:t>
      </w:r>
      <w:r>
        <w:rPr>
          <w:rFonts w:ascii="Times New Roman" w:cs="Times New Roman" w:eastAsia="Times New Roman" w:hAnsi="Times New Roman"/>
          <w:sz w:val="18"/>
          <w:szCs w:val="18"/>
          <w:b w:val="1"/>
          <w:bCs w:val="1"/>
          <w:color w:val="auto"/>
        </w:rPr>
        <w:t>Inventions”</w:t>
      </w:r>
      <w:r>
        <w:rPr>
          <w:rFonts w:ascii="Times New Roman" w:cs="Times New Roman" w:eastAsia="Times New Roman" w:hAnsi="Times New Roman"/>
          <w:sz w:val="18"/>
          <w:szCs w:val="18"/>
          <w:color w:val="auto"/>
        </w:rPr>
        <w:t>) and you will promptly disclose and provide all Inventions to the Company. You agree to assist the Company, at its expense, to further evidence, record and perfect such assignments, and to perfect, obtain, maintain, enforce, and defend any rights assigned.</w:t>
      </w:r>
    </w:p>
    <w:p>
      <w:pPr>
        <w:spacing w:after="0" w:line="182" w:lineRule="exact"/>
        <w:rPr>
          <w:rFonts w:ascii="Times New Roman" w:cs="Times New Roman" w:eastAsia="Times New Roman" w:hAnsi="Times New Roman"/>
          <w:sz w:val="18"/>
          <w:szCs w:val="18"/>
          <w:b w:val="1"/>
          <w:bCs w:val="1"/>
          <w:color w:val="auto"/>
        </w:rPr>
      </w:pPr>
    </w:p>
    <w:p>
      <w:pPr>
        <w:ind w:firstLine="656"/>
        <w:spacing w:after="0" w:line="286" w:lineRule="auto"/>
        <w:tabs>
          <w:tab w:leader="none" w:pos="1179"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Non-Solicitation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the term of your appointment, you shall not solicit for employment any employee of the Company with whom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have had contact due to your appointment.</w:t>
      </w:r>
    </w:p>
    <w:p>
      <w:pPr>
        <w:spacing w:after="0" w:line="154" w:lineRule="exact"/>
        <w:rPr>
          <w:rFonts w:ascii="Times New Roman" w:cs="Times New Roman" w:eastAsia="Times New Roman" w:hAnsi="Times New Roman"/>
          <w:sz w:val="18"/>
          <w:szCs w:val="18"/>
          <w:b w:val="1"/>
          <w:bCs w:val="1"/>
          <w:color w:val="auto"/>
        </w:rPr>
      </w:pPr>
    </w:p>
    <w:p>
      <w:pPr>
        <w:jc w:val="both"/>
        <w:ind w:firstLine="656"/>
        <w:spacing w:after="0" w:line="257" w:lineRule="auto"/>
        <w:tabs>
          <w:tab w:leader="none" w:pos="1152"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Termination and Resignation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services as an Independent Director may be terminated for any or no reason by the determination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(including any failure to elect you for an ensuing term at any annual meeting of the Board).You may also terminate your services as an Independent Director for any or no reason by delivering your written notice of resignation to the Company (“Resignation”), and such Resignation shall be effective upon the time specified therein or, if no time is specified, upon receipt of the notice of resignation by the Company. Upon the effective date of the termination or Resignation, your right to compensation hereunder will terminate subject to the Company’s obligations to pay you any compensation that you have already earned as of the effective date of such termination or Resignation.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both"/>
        <w:ind w:firstLine="656"/>
        <w:spacing w:after="0" w:line="256" w:lineRule="auto"/>
        <w:tabs>
          <w:tab w:leader="none" w:pos="1255"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Governing Law; Arbitration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shall be construed, interpreted, and governed in accordance with the laws of Singapore,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reference to rules relating to conflicts of law. Any dispute, controversy, difference or claim arising out of or relating to this Agreement, including the existence, validity, interpretation, performance, breach or termination thereof or any dispute regarding non-contractual obligations arising out of or relating to it shall be referred to and finally resolved by arbitration administered by the Singapore International Arbitration Centre (“SIAC”) under the SIAC Rules in force when the Notice of Arbitration is submitted. The seat of arbitration shall be Singapore. The number of arbitrators shall be three. The language of the arbitration shall be English. Each party irrevocably submits to the exclusive jurisdiction of the arbitration in Singapore and waives any objection to proceedings on the grounds of venue or that proceedings have been brought in an inappropriate forum.</w:t>
      </w:r>
    </w:p>
    <w:p>
      <w:pPr>
        <w:spacing w:after="0" w:line="182" w:lineRule="exact"/>
        <w:rPr>
          <w:rFonts w:ascii="Times New Roman" w:cs="Times New Roman" w:eastAsia="Times New Roman" w:hAnsi="Times New Roman"/>
          <w:sz w:val="18"/>
          <w:szCs w:val="18"/>
          <w:b w:val="1"/>
          <w:bCs w:val="1"/>
          <w:color w:val="auto"/>
        </w:rPr>
      </w:pPr>
    </w:p>
    <w:p>
      <w:pPr>
        <w:jc w:val="both"/>
        <w:ind w:left="100" w:firstLine="653"/>
        <w:spacing w:after="0" w:line="254" w:lineRule="auto"/>
        <w:tabs>
          <w:tab w:leader="none" w:pos="1277"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Entire Agreement; Amendment; Waiver; Counterparts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expresses the entire understanding with respect to the subject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matter hereof and supersedes and terminates any prior oral or written agreements with respect to the subject matter hereof. Any term of this Agreement may be amended and observance of any term of this Agreement may be waived only with the written consent of the parties hereto. Waiver of any term or condition of this Agreement by any party shall not be construed as a waiver of any subsequent breach or failure of the same term or condition or waiver of any other term or condition of this Agreement. The failure of any party at any time to require performance by any other party of any provision of this Agreement shall not affect the right of any such party to require future performance of such provision or any other provision of this Agreement. This Agreement may be executed in separate counterparts each of which will be an original and all of which taken together will constitute one and the same agreement, and may be executed using facsimiles of signatures, and a facsimile of a signature shall be deemed to be the same, and equally enforceable, as an original of such signature.</w:t>
      </w:r>
    </w:p>
    <w:p>
      <w:pPr>
        <w:spacing w:after="0" w:line="188" w:lineRule="exact"/>
        <w:rPr>
          <w:sz w:val="20"/>
          <w:szCs w:val="20"/>
          <w:color w:val="auto"/>
        </w:rPr>
      </w:pPr>
    </w:p>
    <w:p>
      <w:pPr>
        <w:jc w:val="both"/>
        <w:ind w:firstLine="656"/>
        <w:spacing w:after="0" w:line="254" w:lineRule="auto"/>
        <w:tabs>
          <w:tab w:leader="none" w:pos="1228"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Indemnification</w:t>
      </w:r>
      <w:r>
        <w:rPr>
          <w:rFonts w:ascii="Times New Roman" w:cs="Times New Roman" w:eastAsia="Times New Roman" w:hAnsi="Times New Roman"/>
          <w:sz w:val="18"/>
          <w:szCs w:val="18"/>
          <w:color w:val="auto"/>
        </w:rPr>
        <w:t>. The Company shall, to the maximum extent provided under applicable law, indemnify and hold you harmless from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against any expenses, including reasonable attorney’s fees, judgments, fines, settlements and other legally permissible amounts (“Losses”), incurred in connection with any proceeding arising out of, or related to, your performance of your Duties, other than any such Losses incurred as a result of your gross negligence or willful misconduct. The Company shall advance to you any expenses, including reasonable attorneys’ fees and costs of settlement, incurred in defending any such proceeding to the maximum extent permitted by applicable law. Such costs and expenses incurred by you in defense of any such proceeding shall be paid by the Company in advance of the final disposition of such proceeding promptly upon receipt by the Company of (a) written request for payment; (b) appropriate documentation evidencing the incurrence, amount and nature of the costs and expenses for which payment is being sought; and (c) an undertaking adequate under applicable law made by or on your behalf to repay the amounts so advanced if it shall ultimately be determined pursuant to any non-appealable judgment or settlement that you are not entitled to be indemnified by the Company.</w:t>
      </w:r>
    </w:p>
    <w:p>
      <w:pPr>
        <w:spacing w:after="0" w:line="188" w:lineRule="exact"/>
        <w:rPr>
          <w:rFonts w:ascii="Times New Roman" w:cs="Times New Roman" w:eastAsia="Times New Roman" w:hAnsi="Times New Roman"/>
          <w:sz w:val="18"/>
          <w:szCs w:val="18"/>
          <w:b w:val="1"/>
          <w:bCs w:val="1"/>
          <w:color w:val="auto"/>
        </w:rPr>
      </w:pPr>
    </w:p>
    <w:p>
      <w:pPr>
        <w:ind w:firstLine="656"/>
        <w:spacing w:after="0" w:line="286" w:lineRule="auto"/>
        <w:tabs>
          <w:tab w:leader="none" w:pos="1215"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Acknowledgement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accept this Agreement subject to all the terms and provisions of this Agreement. You agree to accept as binding,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conclusive, and final all decisions or interpretations of the Board of Directors of the Company of any questions arising under this Agreement.</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ind w:left="660"/>
        <w:spacing w:after="0"/>
        <w:rPr>
          <w:sz w:val="20"/>
          <w:szCs w:val="20"/>
          <w:color w:val="auto"/>
        </w:rPr>
      </w:pPr>
      <w:r>
        <w:rPr>
          <w:rFonts w:ascii="Times New Roman" w:cs="Times New Roman" w:eastAsia="Times New Roman" w:hAnsi="Times New Roman"/>
          <w:sz w:val="17"/>
          <w:szCs w:val="17"/>
          <w:color w:val="auto"/>
        </w:rPr>
        <w:t>The Agreement has been executed and delivered by the undersigned and is made effective as of the date set first set forth above.</w:t>
      </w:r>
    </w:p>
    <w:p>
      <w:pPr>
        <w:spacing w:after="0" w:line="23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Sincerely,</w:t>
      </w:r>
    </w:p>
    <w:p>
      <w:pPr>
        <w:spacing w:after="0" w:line="2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Super X AI Technology Limited</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Yu Chun Kit,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Yu Chun Kit, Anderson</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Executive Director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AGREED AND ACCEPTED: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Paul Pao Hua Shen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Paul Pao Hua Shen</w:t>
      </w:r>
    </w:p>
    <w:p>
      <w:pPr>
        <w:spacing w:after="0" w:line="200" w:lineRule="exact"/>
        <w:rPr>
          <w:sz w:val="20"/>
          <w:szCs w:val="20"/>
          <w:color w:val="auto"/>
        </w:rPr>
      </w:pPr>
    </w:p>
    <w:p>
      <w:pPr>
        <w:spacing w:after="0" w:line="22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9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lvl w:ilvl="1">
      <w:lvlJc w:val="left"/>
      <w:lvlText w:val="%2."/>
      <w:numFmt w:val="lowerLetter"/>
      <w:start w:val="1"/>
    </w:lvl>
  </w:abstractNum>
  <w:abstractNum w:abstractNumId="1">
    <w:nsid w:val="2AE8944A"/>
    <w:multiLevelType w:val="hybridMultilevel"/>
    <w:lvl w:ilvl="0">
      <w:lvlJc w:val="left"/>
      <w:lvlText w:val="%1"/>
      <w:numFmt w:val="decimal"/>
      <w:start w:val="1"/>
    </w:lvl>
    <w:lvl w:ilvl="1">
      <w:lvlJc w:val="left"/>
      <w:lvlText w:val="%2."/>
      <w:numFmt w:val="lowerLetter"/>
      <w:start w:val="3"/>
    </w:lvl>
  </w:abstractNum>
  <w:abstractNum w:abstractNumId="2">
    <w:nsid w:val="625558EC"/>
    <w:multiLevelType w:val="hybridMultilevel"/>
    <w:lvl w:ilvl="0">
      <w:lvlJc w:val="left"/>
      <w:lvlText w:val="%1."/>
      <w:numFmt w:val="decimal"/>
      <w:start w:val="8"/>
    </w:lvl>
    <w:lvl w:ilvl="1">
      <w:lvlJc w:val="left"/>
      <w:lvlText w:val="%2"/>
      <w:numFmt w:val="lowerLetter"/>
      <w:start w:val="1"/>
    </w:lvl>
  </w:abstractNum>
  <w:abstractNum w:abstractNumId="3">
    <w:nsid w:val="238E1F29"/>
    <w:multiLevelType w:val="hybridMultilevel"/>
    <w:lvl w:ilvl="0">
      <w:lvlJc w:val="left"/>
      <w:lvlText w:val="%1."/>
      <w:numFmt w:val="decimal"/>
      <w:start w:val="10"/>
    </w:lvl>
    <w:lvl w:ilvl="1">
      <w:lvlJc w:val="left"/>
      <w:lvlText w:val="%2."/>
      <w:numFmt w:val="decimal"/>
      <w:start w:val="11"/>
    </w:lvl>
  </w:abstractNum>
  <w:abstractNum w:abstractNumId="4">
    <w:nsid w:val="46E87CCD"/>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2026-05-20T07:14:35Z</dcterms:created>
  <dcterms:modified xsi:type="dcterms:W3CDTF">2026-05-20T07:14:35Z</dcterms:modified>
</cp:coreProperties>
</file>