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001-42013</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SUPERX AI TECHNOLOGY LIMITED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 Pasir Panjang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#06-31, Mapletree Business City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117440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ind w:left="362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OPS Interior Design Consultant Limited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4, 2026, SuperX AI Technology Limited (“SuperX” or the “Company”) entered into a Sale and Purchase Agreement (the “Agreement”) with (i) Mr. Yip Sai Kit, Dicky, Mr. Chan Yuk Ki Francis, and Ms. So Siu Lai (collectively, the “Purchasers”) and (ii) OPS Interior Design Consultant Limited (“OPS”), a Hong Kong incorporated wholly owned subsidiary of the Company and its legacy business, pursuant to which the Company agreed to sell, and the Purchasers agreed to purchase, 100% of the issued share capital (the “Sale Shares”) of OPS. The Agreement was approved by the Company’s board of directors on April 30, 2026. Each of the Purchasers is a director and founder of OPS.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consideration for the Sale Shares is HKD 18,764,649 (approximately US$2,395,453) (the “Consideration”). The Consideration was satisfied in full at Completion through the assumption by the Purchasers, jointly and severally, of an intercompany payable owing by the Company to OPS in the same aggregate amount, with such assumption being set off against the Purchasers’ obligation to pay the Consideration to the Company. The Company was released and discharged from such intercompany payable upon Completion. The Purchasers are jointly and severally liable for any portion of the Consideration not otherwise satisfied at Completion.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Sale Shares are being transferred to the Purchasers in approximately equal proportions. All of OPS's existing contracts, assets, employees and liabilities will remain with OPS following completion. The Agreement contains customary representations and warranties for a transaction of this nature, together with a mutual release of pre-completion claims among the Company, the Purchasers and OPS effective upon completion. The Agreement is governed by the laws of Hong Kong.</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Completion of the transaction occurred on May 7, 2026. As a result of the disposal, OPS ceased to be a subsidiary of the Company, and the Company expects to recognize a gain on disposal in its consolidated financial statements for the period in which completion occurred. The Company does not expect the disposal to have a material adverse effect on its ongoing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“safe harbor” provisions of the Private Securities Litigation Reform Act of 1995 and other Federal securities laws. All statements other than statements of historical facts included in this Report are forward-looking statements. Forward-looking statements include, but are not limited to, express or implied statements regarding expectations, hopes, beliefs, intentions or strategies of the Company regarding the future including, without limitation, express or implied statements regarding: the expected accounting treatment and financial impact of the disposal of OPS, including the gain on disposal expected to be recognized; and the expectation that the disposal will not have a material adverse effect on the Company’s ongoing business, financial condition or results of operations. Forward-looking statements are neither historical facts nor assurances of future performance. Instead, they are based only on the Company’s current beliefs, expectations and assumptions regarding the future of its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the Company’s control. You can identify forward-looking statements by those that are not historical in nature, particularly those that use terminology such as “may,” “should,” “expects,” “anticipates,” “contemplates,” “estimates,” “believes,” “plans,” “projected,” “predicts,” “potential,” or “hopes” or the negative of these or similar terms. Forward-looking statements are based on current expectations and assumptions that, while considered reasonable, are inherently uncertain. New risks and uncertainties may emerge from time to time, and it is not possible to predict all risks and uncertainties. The Company’s actual results may differ materially from those indicated in the forward-looking statements. Therefore, you should not rely on any of these forward-looking statements. Important factors that could cause our actual results to differ materially from those indicated in the forward-looking statements include the risks and uncertainties described in the Company’s annual report on Form 20-F for the year ended June 30, 2025, filed with the U.S. Securities and Exchange Commission (the “Commission”) on October 31, 2025, and the Company’s other filings with the Commission. Except as required by law, the Company undertakes no obligation to publicly update any forward-looking statement, whether written or oral, that may be made from time to time, whether as a result of new information, future developments or otherwise.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Sale and Purchase Agreement, dated May 4, 2026, by and among the Company, the Purchasers and OPS.</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560" w:type="dxa"/>
            <w:vAlign w:val="bottom"/>
            <w:tcBorders>
              <w:top w:val="single" w:sz="8" w:color="0000EE"/>
              <w:bottom w:val="single" w:sz="8" w:color="auto"/>
            </w:tcBorders>
          </w:tcPr>
          <w:p>
            <w:pPr>
              <w:jc w:val="right"/>
              <w:ind w:right="2950"/>
              <w:spacing w:after="0"/>
              <w:rPr>
                <w:sz w:val="20"/>
                <w:szCs w:val="20"/>
                <w:color w:val="auto"/>
              </w:rPr>
            </w:pPr>
            <w:r>
              <w:rPr>
                <w:rFonts w:ascii="Times New Roman" w:cs="Times New Roman" w:eastAsia="Times New Roman" w:hAnsi="Times New Roman"/>
                <w:sz w:val="18"/>
                <w:szCs w:val="18"/>
                <w:color w:val="auto"/>
              </w:rPr>
              <w:t>2</w:t>
            </w:r>
          </w:p>
        </w:tc>
        <w:tc>
          <w:tcPr>
            <w:tcW w:w="25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7"/>
          <w:szCs w:val="17"/>
          <w:b w:val="1"/>
          <w:bCs w:val="1"/>
          <w:color w:val="auto"/>
        </w:rPr>
        <w:t>SuperX AI Technology Limited</w:t>
      </w:r>
    </w:p>
    <w:p>
      <w:pPr>
        <w:spacing w:after="0" w:line="2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Yu Chun Kit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Yu Chun Kit</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 AND PURCHASE AGREEMENT</w:t>
      </w:r>
    </w:p>
    <w:p>
      <w:pPr>
        <w:spacing w:after="0" w:line="22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(100% of the issued shares of OPS Interior Design Consultant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This Sale and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on this 4th day of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ind w:left="34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SUPERX AI TECHNOLOGY LIMITED</w:t>
      </w:r>
      <w:r>
        <w:rPr>
          <w:rFonts w:ascii="Times New Roman" w:cs="Times New Roman" w:eastAsia="Times New Roman" w:hAnsi="Times New Roman"/>
          <w:sz w:val="18"/>
          <w:szCs w:val="18"/>
          <w:color w:val="auto"/>
        </w:rPr>
        <w:t>, a company incorporated under the laws of the British Virgin Islands with company number 2073647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registered office at Vistra Corporate Services Centre, Wickhams Cay II, Road Town, Tortola, VG1110, British Virgin Islands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individuals (collectively, the </w:t>
      </w:r>
      <w:r>
        <w:rPr>
          <w:rFonts w:ascii="Times New Roman" w:cs="Times New Roman" w:eastAsia="Times New Roman" w:hAnsi="Times New Roman"/>
          <w:sz w:val="18"/>
          <w:szCs w:val="18"/>
          <w:b w:val="1"/>
          <w:bCs w:val="1"/>
          <w:color w:val="auto"/>
        </w:rPr>
        <w:t>“Buyers”</w:t>
      </w:r>
      <w:r>
        <w:rPr>
          <w:rFonts w:ascii="Times New Roman" w:cs="Times New Roman" w:eastAsia="Times New Roman" w:hAnsi="Times New Roman"/>
          <w:sz w:val="18"/>
          <w:szCs w:val="18"/>
          <w:color w:val="auto"/>
        </w:rPr>
        <w:t xml:space="preserve">, and each a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YIP SAI KIT, DICKY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 YUK KI FRANCIS</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 SIU LAI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OPS INTERIOR DESIGN CONSULTANT LIMITED</w:t>
      </w:r>
      <w:r>
        <w:rPr>
          <w:rFonts w:ascii="Times New Roman" w:cs="Times New Roman" w:eastAsia="Times New Roman" w:hAnsi="Times New Roman"/>
          <w:sz w:val="18"/>
          <w:szCs w:val="18"/>
          <w:color w:val="auto"/>
        </w:rPr>
        <w:t>, a company incorporated in Hong Kong with business registration number 58670792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Seller, the Buyers and the Company are each referred to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xml:space="preserve"> and together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34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is the legal and beneficial owner of 1,000,000 ordinary shares (the </w:t>
      </w:r>
      <w:r>
        <w:rPr>
          <w:rFonts w:ascii="Times New Roman" w:cs="Times New Roman" w:eastAsia="Times New Roman" w:hAnsi="Times New Roman"/>
          <w:sz w:val="18"/>
          <w:szCs w:val="18"/>
          <w:b w:val="1"/>
          <w:bCs w:val="1"/>
          <w:color w:val="auto"/>
        </w:rPr>
        <w:t>“Sale Shares”</w:t>
      </w:r>
      <w:r>
        <w:rPr>
          <w:rFonts w:ascii="Times New Roman" w:cs="Times New Roman" w:eastAsia="Times New Roman" w:hAnsi="Times New Roman"/>
          <w:sz w:val="18"/>
          <w:szCs w:val="18"/>
          <w:color w:val="auto"/>
        </w:rPr>
        <w:t>), representing 100% of the issued share capital of the Company.</w:t>
      </w:r>
    </w:p>
    <w:p>
      <w:pPr>
        <w:spacing w:after="0" w:line="15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Buyers is a director and founder of the Company. The Buyers wish to acquire, and the Seller wishes to dispose of, the Sale Shares on the terms of this Agreement.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agreed the aggregate consideration for the Sale Shares to be HKD 18,764,649, on the terms and conditions set out in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IT IS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INTERPRETATION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In this Agreement, unless the context otherwise requires:</w:t>
      </w:r>
    </w:p>
    <w:p>
      <w:pPr>
        <w:spacing w:after="0" w:line="22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 day (other than a Saturday, Sunday or public holiday) on which banks are open for general business in Hong Kong;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“Completion” </w:t>
      </w:r>
      <w:r>
        <w:rPr>
          <w:rFonts w:ascii="Times New Roman" w:cs="Times New Roman" w:eastAsia="Times New Roman" w:hAnsi="Times New Roman"/>
          <w:sz w:val="18"/>
          <w:szCs w:val="18"/>
          <w:color w:val="auto"/>
        </w:rPr>
        <w:t>means completion of the sale and purchase of the Sale Shares in accordance with Clause 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“Completion Date” </w:t>
      </w:r>
      <w:r>
        <w:rPr>
          <w:rFonts w:ascii="Times New Roman" w:cs="Times New Roman" w:eastAsia="Times New Roman" w:hAnsi="Times New Roman"/>
          <w:sz w:val="18"/>
          <w:szCs w:val="18"/>
          <w:color w:val="auto"/>
        </w:rPr>
        <w:t>means May 7, 2026, or such other date as the Parties may agree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has the meaning given in Clause 3.1;</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“Encumbrance” </w:t>
      </w:r>
      <w:r>
        <w:rPr>
          <w:rFonts w:ascii="Times New Roman" w:cs="Times New Roman" w:eastAsia="Times New Roman" w:hAnsi="Times New Roman"/>
          <w:sz w:val="18"/>
          <w:szCs w:val="18"/>
          <w:color w:val="auto"/>
        </w:rPr>
        <w:t>means any mortgage, charge, pledge, lien, option, right of first refusal, right of pre-emption, third-party right or interest,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security interest or encumbrance of any kind; and</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“HKD” </w:t>
      </w:r>
      <w:r>
        <w:rPr>
          <w:rFonts w:ascii="Times New Roman" w:cs="Times New Roman" w:eastAsia="Times New Roman" w:hAnsi="Times New Roman"/>
          <w:sz w:val="18"/>
          <w:szCs w:val="18"/>
          <w:color w:val="auto"/>
        </w:rPr>
        <w:t>means Hong Kong dollars, the lawful currency of Hong Kong.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References to clauses are to clauses of this Agreement. Headings are for convenience only and do not affect interpretation.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SALE AND PURCHASE</w:t>
      </w:r>
    </w:p>
    <w:p>
      <w:pPr>
        <w:spacing w:after="0" w:line="229" w:lineRule="exact"/>
        <w:rPr>
          <w:sz w:val="20"/>
          <w:szCs w:val="20"/>
          <w:color w:val="auto"/>
        </w:rPr>
      </w:pPr>
    </w:p>
    <w:p>
      <w:pPr>
        <w:ind w:left="340" w:hanging="323"/>
        <w:spacing w:after="0" w:line="282" w:lineRule="auto"/>
        <w:rPr>
          <w:sz w:val="20"/>
          <w:szCs w:val="20"/>
          <w:color w:val="auto"/>
        </w:rPr>
      </w:pPr>
      <w:r>
        <w:rPr>
          <w:rFonts w:ascii="Times New Roman" w:cs="Times New Roman" w:eastAsia="Times New Roman" w:hAnsi="Times New Roman"/>
          <w:sz w:val="18"/>
          <w:szCs w:val="18"/>
          <w:color w:val="auto"/>
        </w:rPr>
        <w:t>2.1 Subject to the terms of this Agreement, the Seller agrees to sell, and the Buyers agree to purchase, the Sale Shares free from all Encumbrances and together with all rights attaching to them as at the Completion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The Sale Shares shall be transferred to the Buyers in the following proportions:</w:t>
      </w:r>
    </w:p>
    <w:p>
      <w:pPr>
        <w:spacing w:after="0" w:line="22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Yip Sai Kit, Dicky </w:t>
      </w:r>
      <w:r>
        <w:rPr>
          <w:rFonts w:ascii="Times New Roman" w:cs="Times New Roman" w:eastAsia="Times New Roman" w:hAnsi="Times New Roman"/>
          <w:sz w:val="18"/>
          <w:szCs w:val="18"/>
          <w:color w:val="auto"/>
        </w:rPr>
        <w:t>— 333,334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 Yuk Ki Francis </w:t>
      </w:r>
      <w:r>
        <w:rPr>
          <w:rFonts w:ascii="Times New Roman" w:cs="Times New Roman" w:eastAsia="Times New Roman" w:hAnsi="Times New Roman"/>
          <w:sz w:val="18"/>
          <w:szCs w:val="18"/>
          <w:color w:val="auto"/>
        </w:rPr>
        <w:t>— 333,333 shares;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So Siu Lai </w:t>
      </w:r>
      <w:r>
        <w:rPr>
          <w:rFonts w:ascii="Times New Roman" w:cs="Times New Roman" w:eastAsia="Times New Roman" w:hAnsi="Times New Roman"/>
          <w:sz w:val="18"/>
          <w:szCs w:val="18"/>
          <w:color w:val="auto"/>
        </w:rPr>
        <w:t>— 333,333 shares.</w:t>
      </w:r>
    </w:p>
    <w:p>
      <w:pPr>
        <w:spacing w:after="0" w:line="225" w:lineRule="exact"/>
        <w:rPr>
          <w:sz w:val="20"/>
          <w:szCs w:val="20"/>
          <w:color w:val="auto"/>
        </w:rPr>
      </w:pPr>
    </w:p>
    <w:p>
      <w:pPr>
        <w:jc w:val="both"/>
        <w:ind w:left="340" w:hanging="323"/>
        <w:spacing w:after="0" w:line="268" w:lineRule="auto"/>
        <w:rPr>
          <w:sz w:val="20"/>
          <w:szCs w:val="20"/>
          <w:color w:val="auto"/>
        </w:rPr>
      </w:pPr>
      <w:r>
        <w:rPr>
          <w:rFonts w:ascii="Times New Roman" w:cs="Times New Roman" w:eastAsia="Times New Roman" w:hAnsi="Times New Roman"/>
          <w:sz w:val="18"/>
          <w:szCs w:val="18"/>
          <w:color w:val="auto"/>
        </w:rPr>
        <w:t xml:space="preserve">2.3 The Buyers acknowledge and agree that they are acquiring the Company on an </w:t>
      </w:r>
      <w:r>
        <w:rPr>
          <w:rFonts w:ascii="Times New Roman" w:cs="Times New Roman" w:eastAsia="Times New Roman" w:hAnsi="Times New Roman"/>
          <w:sz w:val="18"/>
          <w:szCs w:val="18"/>
          <w:b w:val="1"/>
          <w:bCs w:val="1"/>
          <w:color w:val="auto"/>
        </w:rPr>
        <w:t>“as-is, where-is”</w:t>
      </w:r>
      <w:r>
        <w:rPr>
          <w:rFonts w:ascii="Times New Roman" w:cs="Times New Roman" w:eastAsia="Times New Roman" w:hAnsi="Times New Roman"/>
          <w:sz w:val="18"/>
          <w:szCs w:val="18"/>
          <w:color w:val="auto"/>
        </w:rPr>
        <w:t xml:space="preserve"> basis, including all contracts, assets, employees and liabilities of the Company existing as at the Completion Date, all of which shall remain with the Company following Completion. The Seller makes no representation or warranty as to the Company’s business, assets or liabilities other than as expressly set out in Clause 5.</w:t>
      </w:r>
    </w:p>
    <w:p>
      <w:pPr>
        <w:spacing w:after="0" w:line="175"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auto"/>
        </w:rPr>
        <w:t>2.4 The Parties confirm that there is no intellectual property of the Seller or any of its affiliates (other than the Company itself) that is used in or required for the business of the Company, and no intellectual property is being transferred separately under this Agreement.</w:t>
      </w:r>
    </w:p>
    <w:p>
      <w:pPr>
        <w:spacing w:after="0" w:line="158" w:lineRule="exact"/>
        <w:rPr>
          <w:sz w:val="20"/>
          <w:szCs w:val="20"/>
          <w:color w:val="auto"/>
        </w:rPr>
      </w:pPr>
    </w:p>
    <w:p>
      <w:pPr>
        <w:jc w:val="both"/>
        <w:ind w:left="340" w:hanging="323"/>
        <w:spacing w:after="0" w:line="262"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color w:val="auto"/>
        </w:rPr>
        <w:t>No Use of Seller’s Name or Marks.</w:t>
      </w:r>
      <w:r>
        <w:rPr>
          <w:rFonts w:ascii="Times New Roman" w:cs="Times New Roman" w:eastAsia="Times New Roman" w:hAnsi="Times New Roman"/>
          <w:sz w:val="18"/>
          <w:szCs w:val="18"/>
          <w:color w:val="auto"/>
        </w:rPr>
        <w:t xml:space="preserve"> From and after Completion, the Buyers shall procure that the Company shall not use, register, or apply to register any name, trade mark, logo, domain name or branding which contains, incorporates or is confusingly similar to “SuperX”, “SUPX”, or any other name, mark or branding of the Seller or any of its affiliates, and shall promptly take all steps reasonably required by the Seller to remove any such references from the Company’s records, marketing materials, websites and corporate communications.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CONSIDERATION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3.1 The total consideration for the Sale Shares is </w:t>
      </w:r>
      <w:r>
        <w:rPr>
          <w:rFonts w:ascii="Times New Roman" w:cs="Times New Roman" w:eastAsia="Times New Roman" w:hAnsi="Times New Roman"/>
          <w:sz w:val="18"/>
          <w:szCs w:val="18"/>
          <w:b w:val="1"/>
          <w:bCs w:val="1"/>
          <w:color w:val="auto"/>
        </w:rPr>
        <w:t>HKD 18,764,649</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340" w:hanging="323"/>
        <w:spacing w:after="0" w:line="254" w:lineRule="auto"/>
        <w:rPr>
          <w:sz w:val="20"/>
          <w:szCs w:val="20"/>
          <w:color w:val="auto"/>
        </w:rPr>
      </w:pPr>
      <w:r>
        <w:rPr>
          <w:rFonts w:ascii="Times New Roman" w:cs="Times New Roman" w:eastAsia="Times New Roman" w:hAnsi="Times New Roman"/>
          <w:sz w:val="18"/>
          <w:szCs w:val="18"/>
          <w:color w:val="auto"/>
        </w:rPr>
        <w:t>3.2 As at the date of this Agreement, the Seller is liable to the Company in respect of an aggregate intercompany amount of HKD 18,764,649 (the “Intercompany Payable”). The Buyers shall, jointly and severally, be liable to the Seller for the Consideration in respect of the Sale Shares. The Consideration shall be satisfied in full at Completion as follows: (a) the Buyers shall, jointly and severally, assume the Intercompany Payable as primary obligor in the place of the Seller, and from and after Completion shall be liable to the Company for the Intercompany Payable as if the Buyers had been the original obligor thereof; (b) the Company hereby consents to the assumption referred to in paragraph (a) and, with effect from Completion, releases and discharges the Seller from all obligations and liabilities in respect of the Intercompany Payable; and (c) the Buyers’ assumption of, and primary liability for, the Intercompany Payable as contemplated by paragraphs (a) and (b) shall, by way of set-off against the Buyers’ liability for the Consideration, constitute full and final satisfaction of the Consideration, and the Buyers shall have no further liability to the Seller for the Consideration in respect of the Sale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 The Buyers shall be jointly and severally liable for any portion of the Consideration not otherwise satisfied at or before Completion.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4. COMPLETION</w:t>
      </w:r>
    </w:p>
    <w:p>
      <w:pPr>
        <w:spacing w:after="0" w:line="229" w:lineRule="exact"/>
        <w:rPr>
          <w:sz w:val="20"/>
          <w:szCs w:val="20"/>
          <w:color w:val="auto"/>
        </w:rPr>
      </w:pPr>
    </w:p>
    <w:p>
      <w:pPr>
        <w:ind w:left="340" w:hanging="323"/>
        <w:spacing w:after="0" w:line="282" w:lineRule="auto"/>
        <w:rPr>
          <w:sz w:val="20"/>
          <w:szCs w:val="20"/>
          <w:color w:val="auto"/>
        </w:rPr>
      </w:pPr>
      <w:r>
        <w:rPr>
          <w:rFonts w:ascii="Times New Roman" w:cs="Times New Roman" w:eastAsia="Times New Roman" w:hAnsi="Times New Roman"/>
          <w:sz w:val="18"/>
          <w:szCs w:val="18"/>
          <w:color w:val="auto"/>
        </w:rPr>
        <w:t>4.1 Completion shall take place on the Completion Date remotely by exchange of executed documents in electronic form, or at such other place and time as the Parties may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 At Completion, the Seller shall deliver (or procure delivery) to the Buyers of:</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instruments of transfer and bought and sold notes in respect of the Sale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share certificate(s) for the Sale Shares (or an indemnity for any lost certificate);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resignations of any directors or company secretary of the Company nominated by the Seller, effective on Completion;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Seller’s board resolutions approving the entry into and performance of this Agreement and the transfer of the Sale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registers, common seal (if any) and corporate records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 At Completion, the Buyers shall deliver to the Seller:</w:t>
      </w:r>
    </w:p>
    <w:p>
      <w:pPr>
        <w:spacing w:after="0" w:line="225" w:lineRule="exact"/>
        <w:rPr>
          <w:sz w:val="20"/>
          <w:szCs w:val="20"/>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duly executed instruments of transfer and bought and sold notes countersigned by the Buyers;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of the board resolutions of the Company approving the registration of the transfer of the Sale Shares and appointing any new directors or company secretary nominated by the Buyers;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 of this Agreement duly executed by each Buyer.</w:t>
      </w:r>
    </w:p>
    <w:p>
      <w:pPr>
        <w:spacing w:after="0" w:line="2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The Seller warrants to the Buyers, as at the date of this Agreement and at Completion, that:</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is the sole legal and beneficial owner of the Sale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Shares are fully paid and free from Encumbrances;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has full power and authority to enter into and perform this Agreement;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valid and binding obligations of the Seller, enforceable in accordance with its terms.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Each Buyer jointly and severally warrants to the Seller, as at the date of this Agreement and at Completion, that: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has full power and authority to enter into and perform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valid and binding obligations of such Buyer;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Buyer has all necessary information regarding the Company by virtue of his position as a director and founder of the Company, and is not relying on any representation or warranty of the Seller other than those expressly set out in Clause 5.1.</w:t>
      </w:r>
    </w:p>
    <w:p>
      <w:pPr>
        <w:spacing w:after="0" w:line="162" w:lineRule="exact"/>
        <w:rPr>
          <w:sz w:val="20"/>
          <w:szCs w:val="20"/>
          <w:color w:val="auto"/>
        </w:rPr>
      </w:pPr>
    </w:p>
    <w:p>
      <w:pPr>
        <w:jc w:val="both"/>
        <w:ind w:left="340" w:right="20" w:hanging="323"/>
        <w:spacing w:after="0" w:line="282" w:lineRule="auto"/>
        <w:rPr>
          <w:sz w:val="20"/>
          <w:szCs w:val="20"/>
          <w:color w:val="auto"/>
        </w:rPr>
      </w:pPr>
      <w:r>
        <w:rPr>
          <w:rFonts w:ascii="Times New Roman" w:cs="Times New Roman" w:eastAsia="Times New Roman" w:hAnsi="Times New Roman"/>
          <w:sz w:val="18"/>
          <w:szCs w:val="18"/>
          <w:color w:val="auto"/>
        </w:rPr>
        <w:t>5.3 Save for the warranties expressly set out in Clause 5.1, all warranties, representations and conditions implied by statute, common law or otherwise are excluded to the maximum extent permitted by law.</w:t>
      </w:r>
    </w:p>
    <w:p>
      <w:pPr>
        <w:spacing w:after="0" w:line="158" w:lineRule="exact"/>
        <w:rPr>
          <w:sz w:val="20"/>
          <w:szCs w:val="20"/>
          <w:color w:val="auto"/>
        </w:rPr>
      </w:pPr>
    </w:p>
    <w:p>
      <w:pPr>
        <w:jc w:val="both"/>
        <w:ind w:left="340" w:hanging="323"/>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Limitation of Seller’s Liability.</w:t>
      </w:r>
      <w:r>
        <w:rPr>
          <w:rFonts w:ascii="Times New Roman" w:cs="Times New Roman" w:eastAsia="Times New Roman" w:hAnsi="Times New Roman"/>
          <w:sz w:val="18"/>
          <w:szCs w:val="18"/>
          <w:color w:val="auto"/>
        </w:rPr>
        <w:t xml:space="preserve"> Notwithstanding any other provision of this Agreement: (a) the maximum aggregate liability of the Seller under or in connection with this Agreement (including for any breach of warranty under Clause 5.1) shall not exceed the Consideration; (b) no claim shall be brought against the Seller under this Agreement unless written notice of the claim, with reasonable particulars, is given to the Seller within twelve (12) months after the Completion Date; (c) the Seller shall have no liability for any individual claim where the amount of liability does not exceed HKD 80,000, and no liability in aggregate unless and until the aggregate liability exceeds HKD 400,000 (in which case the Seller shall be liable for the full amount and not only the excess); (d) the Seller shall have no liability for any loss to the extent it is contingent, indirect, consequential or relates to loss of profits, loss of opportunity or loss of goodwill; and (e) the Buyers shall not be entitled to recover more than once in respect of the same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MUTUAL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With effect from Completion, and save in respect of the Parties’ obligations under this Agreement:</w:t>
      </w:r>
    </w:p>
    <w:p>
      <w:pPr>
        <w:spacing w:after="0" w:line="225" w:lineRule="exact"/>
        <w:rPr>
          <w:sz w:val="20"/>
          <w:szCs w:val="20"/>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releases the Company and each Buyer from all claims, demands and liabilities (whether known or unknown, present or future) which the Seller has or may have against the Company or any Buyer arising on or before Completion;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Buyer releases, and shall procure that the Company releases, the Seller and its affiliates from all claims, demands and liabilities (whether known or unknown, present or future) which the Company or such Buyer has or may have against the Seller or its affiliates arising on or before Completion;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releases the Seller and its affiliates from all claims, demands and liabilities (whether known or unknown, present or future) which the Company has or may have against the Seller or its affiliates arising on or before Completion (including, for the avoidance of doubt, the Intercompany Payable, in respect of which the Seller is released and discharged as provided in Clause 3.2(b)).</w:t>
      </w:r>
    </w:p>
    <w:p>
      <w:pPr>
        <w:spacing w:after="0" w:line="172" w:lineRule="exact"/>
        <w:rPr>
          <w:sz w:val="20"/>
          <w:szCs w:val="20"/>
          <w:color w:val="auto"/>
        </w:rPr>
      </w:pPr>
    </w:p>
    <w:p>
      <w:pPr>
        <w:jc w:val="both"/>
        <w:ind w:left="340" w:hanging="323"/>
        <w:spacing w:after="0" w:line="26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Buyers’ Indemnity.</w:t>
      </w:r>
      <w:r>
        <w:rPr>
          <w:rFonts w:ascii="Times New Roman" w:cs="Times New Roman" w:eastAsia="Times New Roman" w:hAnsi="Times New Roman"/>
          <w:sz w:val="18"/>
          <w:szCs w:val="18"/>
          <w:color w:val="auto"/>
        </w:rPr>
        <w:t xml:space="preserve"> Each Buyer shall, jointly and severally, indemnify and hold harmless the Seller and its affiliates from and against any and all losses, claims, demands, liabilities, damages, costs and expenses (including reasonable legal fees) suffered or incurred by the Seller or any of its affiliates arising from or in connection with any claim, demand or proceeding asserted by the Company (or any successor of the Company) against the Seller or any of its affiliates in respect of any matter arising on or before Completion, notwithstanding the release in Clause 6.1(b).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COSTS AND STAMP DUTY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 Each Party shall bear its own legal and professional costs in connection with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 Any Hong Kong stamp duty payable on the transfer of the Sale Shares shall be borne equally by the Seller and the Buyers.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FURTHER ASSURANCE</w:t>
      </w:r>
    </w:p>
    <w:p>
      <w:pPr>
        <w:spacing w:after="0" w:line="229" w:lineRule="exact"/>
        <w:rPr>
          <w:sz w:val="20"/>
          <w:szCs w:val="20"/>
          <w:color w:val="auto"/>
        </w:rPr>
      </w:pPr>
    </w:p>
    <w:p>
      <w:pPr>
        <w:jc w:val="both"/>
        <w:ind w:left="340" w:hanging="323"/>
        <w:spacing w:after="0" w:line="282" w:lineRule="auto"/>
        <w:rPr>
          <w:sz w:val="20"/>
          <w:szCs w:val="20"/>
          <w:color w:val="auto"/>
        </w:rPr>
      </w:pPr>
      <w:r>
        <w:rPr>
          <w:rFonts w:ascii="Times New Roman" w:cs="Times New Roman" w:eastAsia="Times New Roman" w:hAnsi="Times New Roman"/>
          <w:sz w:val="18"/>
          <w:szCs w:val="18"/>
          <w:color w:val="auto"/>
        </w:rPr>
        <w:t>8.1 Each Party shall execute such further documents and do such further acts as the other Party may reasonably require to give full effect to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CONFIDENTIALITY</w:t>
      </w:r>
    </w:p>
    <w:p>
      <w:pPr>
        <w:spacing w:after="0" w:line="229"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9.1 Each Party shall keep the existence and terms of this Agreement and all information relating to the transactions contemplated by it confidential, except for disclosure (i) to its professional advisers on a need-to-know basis, (ii) as required by law, regulation, stock exchange rule or order of a competent authority, or (iii) with the prior written consent of the other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GENERAL</w:t>
      </w:r>
    </w:p>
    <w:p>
      <w:pPr>
        <w:spacing w:after="0" w:line="22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xml:space="preserve"> This Agreement constitutes the entire agreement between the Parties relating to its subject matter and supersedes all prior agreements and understandings, whether written or oral.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8"/>
          <w:szCs w:val="18"/>
          <w:b w:val="1"/>
          <w:bCs w:val="1"/>
          <w:color w:val="auto"/>
        </w:rPr>
        <w:t>Variation.</w:t>
      </w:r>
      <w:r>
        <w:rPr>
          <w:rFonts w:ascii="Times New Roman" w:cs="Times New Roman" w:eastAsia="Times New Roman" w:hAnsi="Times New Roman"/>
          <w:sz w:val="18"/>
          <w:szCs w:val="18"/>
          <w:color w:val="auto"/>
        </w:rPr>
        <w:t xml:space="preserve"> No variation of this Agreement is effective unless in writing and signed by each Party.</w:t>
      </w:r>
    </w:p>
    <w:p>
      <w:pPr>
        <w:spacing w:after="0" w:line="22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10.3</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Agreement may be executed in any number of counterparts, each of which is an original and which together constitute one and the same agreement. Delivery by email of an executed counterpart in PDF format constitutes effective delivery.</w:t>
      </w:r>
    </w:p>
    <w:p>
      <w:pPr>
        <w:spacing w:after="0" w:line="15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8"/>
          <w:szCs w:val="18"/>
          <w:b w:val="1"/>
          <w:bCs w:val="1"/>
          <w:color w:val="auto"/>
        </w:rPr>
        <w:t>Third Party Rights.</w:t>
      </w:r>
      <w:r>
        <w:rPr>
          <w:rFonts w:ascii="Times New Roman" w:cs="Times New Roman" w:eastAsia="Times New Roman" w:hAnsi="Times New Roman"/>
          <w:sz w:val="18"/>
          <w:szCs w:val="18"/>
          <w:color w:val="auto"/>
        </w:rPr>
        <w:t xml:space="preserve"> A person who is not a party to this Agreement has no rights under the Contracts (Rights of Third Parties) Ordinance (Cap. 623) to enforce any term of this Agreement.</w:t>
      </w:r>
    </w:p>
    <w:p>
      <w:pPr>
        <w:spacing w:after="0" w:line="155" w:lineRule="exact"/>
        <w:rPr>
          <w:sz w:val="20"/>
          <w:szCs w:val="20"/>
          <w:color w:val="auto"/>
        </w:rPr>
      </w:pPr>
    </w:p>
    <w:p>
      <w:pPr>
        <w:jc w:val="both"/>
        <w:ind w:left="340" w:hanging="323"/>
        <w:spacing w:after="0" w:line="286" w:lineRule="auto"/>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18"/>
          <w:szCs w:val="18"/>
          <w:b w:val="1"/>
          <w:bCs w:val="1"/>
          <w:color w:val="auto"/>
        </w:rPr>
        <w:t>Governing Law and Jurisdiction.</w:t>
      </w:r>
      <w:r>
        <w:rPr>
          <w:rFonts w:ascii="Times New Roman" w:cs="Times New Roman" w:eastAsia="Times New Roman" w:hAnsi="Times New Roman"/>
          <w:sz w:val="18"/>
          <w:szCs w:val="18"/>
          <w:color w:val="auto"/>
        </w:rPr>
        <w:t xml:space="preserve"> This Agreement and any dispute or claim arising out of or in connection with it are governed by the laws of Hong Kong. The Parties submit to the exclusive jurisdiction of the courts of Hong Kong.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42"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EXECUTION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Agreement on the date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SUPERX AI TECHNOLOGY LIMITED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Yu Chun Kit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Yu Chun Kit</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Yip Sai Kit, Dicky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Yip Sai Kit, Dicky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HKID: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Chan Yuk Ki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 Yuk Ki Francis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HKID: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So Siu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 Siu Lai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HKID: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OPS INTERIOR DESIGN CONSULTANT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28543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lvl w:ilvl="1">
      <w:lvlJc w:val="left"/>
      <w:lvlText w:val="(%2)"/>
      <w:numFmt w:val="lowerRoman"/>
      <w:start w:val="1"/>
    </w:lvl>
  </w:abstractNum>
  <w:abstractNum w:abstractNumId="1">
    <w:nsid w:val="41B71EFB"/>
    <w:multiLevelType w:val="hybridMultilevel"/>
    <w:lvl w:ilvl="0">
      <w:lvlJc w:val="left"/>
      <w:lvlText w:val="(%1)"/>
      <w:numFmt w:val="upperLetter"/>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1)"/>
      <w:numFmt w:val="lowerLetter"/>
      <w:start w:val="4"/>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1"/>
    </w:lvl>
    <w:lvl w:ilvl="1">
      <w:lvlJc w:val="left"/>
      <w:lvlText w:val="(%2)"/>
      <w:numFmt w:val="lowerLetter"/>
      <w:start w:val="1"/>
    </w:lvl>
  </w:abstractNum>
  <w:abstractNum w:abstractNumId="7">
    <w:nsid w:val="4DB127F8"/>
    <w:multiLevelType w:val="hybridMultilevel"/>
    <w:lvl w:ilvl="0">
      <w:lvlJc w:val="left"/>
      <w:lvlText w:val="%1."/>
      <w:numFmt w:val="decimal"/>
      <w:start w:val="5"/>
    </w:lvl>
    <w:lvl w:ilvl="1">
      <w:lvlJc w:val="left"/>
      <w:lvlText w:val="%2"/>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2026-05-08T06:02:20Z</dcterms:created>
  <dcterms:modified xsi:type="dcterms:W3CDTF">2026-05-08T06:02:20Z</dcterms:modified>
</cp:coreProperties>
</file>